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75" w:rsidRDefault="0052517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25175" w:rsidRDefault="006C13B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Rezultati prijava</w:t>
      </w:r>
    </w:p>
    <w:p w:rsidR="00525175" w:rsidRDefault="006C13B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Tijek 3_mobilnost u Zaragozu</w:t>
      </w:r>
    </w:p>
    <w:p w:rsidR="00525175" w:rsidRDefault="006C13B3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Termin mobilnosti: 17.10. – 6.11. 2021. </w:t>
      </w:r>
    </w:p>
    <w:p w:rsidR="00525175" w:rsidRDefault="006C1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Sudionici: 3.A, 3.B, 3.C, 3.D, 3.F, 3.G, 4.E</w:t>
      </w:r>
    </w:p>
    <w:p w:rsidR="00525175" w:rsidRDefault="006C1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Pratitelji: Vesna Terzin i Roza Mihić</w:t>
      </w:r>
    </w:p>
    <w:p w:rsidR="00525175" w:rsidRDefault="00525175">
      <w:pPr>
        <w:spacing w:after="0"/>
        <w:jc w:val="right"/>
        <w:rPr>
          <w:sz w:val="24"/>
          <w:szCs w:val="24"/>
        </w:rPr>
      </w:pP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2818"/>
        <w:gridCol w:w="1276"/>
        <w:gridCol w:w="1275"/>
        <w:gridCol w:w="2410"/>
      </w:tblGrid>
      <w:tr w:rsidR="00525175">
        <w:tc>
          <w:tcPr>
            <w:tcW w:w="863" w:type="dxa"/>
            <w:shd w:val="clear" w:color="auto" w:fill="9BBB59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Rd.br.</w:t>
            </w:r>
          </w:p>
        </w:tc>
        <w:tc>
          <w:tcPr>
            <w:tcW w:w="2818" w:type="dxa"/>
            <w:shd w:val="clear" w:color="auto" w:fill="9BBB59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Šifra sudionika</w:t>
            </w:r>
          </w:p>
        </w:tc>
        <w:tc>
          <w:tcPr>
            <w:tcW w:w="1276" w:type="dxa"/>
            <w:shd w:val="clear" w:color="auto" w:fill="9BBB59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Razred</w:t>
            </w:r>
          </w:p>
        </w:tc>
        <w:tc>
          <w:tcPr>
            <w:tcW w:w="1275" w:type="dxa"/>
            <w:shd w:val="clear" w:color="auto" w:fill="9BBB59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bodova</w:t>
            </w:r>
          </w:p>
        </w:tc>
        <w:tc>
          <w:tcPr>
            <w:tcW w:w="2410" w:type="dxa"/>
            <w:shd w:val="clear" w:color="auto" w:fill="9BBB59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Napomena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Auspuh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54.93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rijeka5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52.61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Cimen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52.37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Zaastava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50,86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Sunce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50.2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Obito1312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50.16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Tuareg00125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51.30</w:t>
            </w:r>
          </w:p>
        </w:tc>
        <w:tc>
          <w:tcPr>
            <w:tcW w:w="2410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Veder123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43,73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KONDENZATOR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42,43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Akumulator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42,13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bananamajmun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41,20</w:t>
            </w:r>
          </w:p>
        </w:tc>
        <w:tc>
          <w:tcPr>
            <w:tcW w:w="2410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PompiduUltraProMax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40,23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Enrique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50,97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Iker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44,17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Carlos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37,31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Sergio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36,68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Eduardo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28,28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ŠPIJUNAŽA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56,29</w:t>
            </w:r>
          </w:p>
        </w:tc>
        <w:tc>
          <w:tcPr>
            <w:tcW w:w="2410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2452004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55,36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102030405060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53,21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v1h2n3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53,02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EFRLV94W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52,39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rV2n2ZWF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3.F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51,85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RaaR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4.E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</w:t>
            </w:r>
          </w:p>
        </w:tc>
        <w:tc>
          <w:tcPr>
            <w:tcW w:w="2410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ananas12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4.E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Učenik2603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4.E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3403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4.E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Prozor26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48, 32</w:t>
            </w:r>
          </w:p>
        </w:tc>
        <w:tc>
          <w:tcPr>
            <w:tcW w:w="2410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Cvjetak22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46,1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3108IA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Bubamara28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BBB1986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43,33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Ruža18</w:t>
            </w:r>
          </w:p>
        </w:tc>
        <w:tc>
          <w:tcPr>
            <w:tcW w:w="1276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3.G</w:t>
            </w:r>
          </w:p>
        </w:tc>
        <w:tc>
          <w:tcPr>
            <w:tcW w:w="1275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42,56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PINGVIN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56,36</w:t>
            </w:r>
          </w:p>
        </w:tc>
        <w:tc>
          <w:tcPr>
            <w:tcW w:w="2410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XXX23XXX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48,49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1801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47,67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Heisenberg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47,39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18022081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LOPTA8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42,64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  <w:bookmarkStart w:id="0" w:name="_GoBack"/>
        <w:bookmarkEnd w:id="0"/>
      </w:tr>
      <w:tr w:rsidR="00525175">
        <w:tc>
          <w:tcPr>
            <w:tcW w:w="863" w:type="dxa"/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18" w:type="dxa"/>
          </w:tcPr>
          <w:p w:rsidR="00525175" w:rsidRDefault="00D2446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</w:t>
            </w:r>
            <w:r w:rsidR="006C13B3">
              <w:rPr>
                <w:rFonts w:ascii="Calibri" w:eastAsia="Calibri" w:hAnsi="Calibri" w:cs="Calibri"/>
                <w:b/>
              </w:rPr>
              <w:t>omi Mkree</w:t>
            </w:r>
          </w:p>
        </w:tc>
        <w:tc>
          <w:tcPr>
            <w:tcW w:w="1276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275" w:type="dxa"/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40,45</w:t>
            </w:r>
          </w:p>
        </w:tc>
        <w:tc>
          <w:tcPr>
            <w:tcW w:w="2410" w:type="dxa"/>
            <w:tcBorders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sudionik mobilnosti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mKcew28F</w:t>
            </w:r>
          </w:p>
        </w:tc>
        <w:tc>
          <w:tcPr>
            <w:tcW w:w="1276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3.D</w:t>
            </w:r>
          </w:p>
        </w:tc>
        <w:tc>
          <w:tcPr>
            <w:tcW w:w="1275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39,5</w:t>
            </w:r>
          </w:p>
        </w:tc>
        <w:tc>
          <w:tcPr>
            <w:tcW w:w="2410" w:type="dxa"/>
            <w:tcBorders>
              <w:top w:val="single" w:sz="12" w:space="0" w:color="9BBB59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Ahab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39,18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XAEA12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3.D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36,98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Izy1709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3.F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46,15</w:t>
            </w:r>
          </w:p>
        </w:tc>
        <w:tc>
          <w:tcPr>
            <w:tcW w:w="2410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A87qwZ1N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3.F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44,23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Mr1904666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3.F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43,48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  <w:bottom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Sunce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3.F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40,91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9BBB59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12" w:space="0" w:color="9BBB59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Panda13</w:t>
            </w:r>
          </w:p>
        </w:tc>
        <w:tc>
          <w:tcPr>
            <w:tcW w:w="1276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4.E</w:t>
            </w:r>
          </w:p>
        </w:tc>
        <w:tc>
          <w:tcPr>
            <w:tcW w:w="1275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410" w:type="dxa"/>
            <w:tcBorders>
              <w:top w:val="single" w:sz="12" w:space="0" w:color="9BBB59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0511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4.E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  <w:tr w:rsidR="00525175">
        <w:tc>
          <w:tcPr>
            <w:tcW w:w="863" w:type="dxa"/>
            <w:tcBorders>
              <w:top w:val="single" w:sz="4" w:space="0" w:color="000000"/>
            </w:tcBorders>
          </w:tcPr>
          <w:p w:rsidR="00525175" w:rsidRDefault="00525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Admin24104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4.E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25175" w:rsidRDefault="006C13B3">
            <w:pPr>
              <w:jc w:val="center"/>
            </w:pPr>
            <w:r>
              <w:rPr>
                <w:rFonts w:ascii="Calibri" w:eastAsia="Calibri" w:hAnsi="Calibri" w:cs="Calibri"/>
              </w:rPr>
              <w:t>Sudionik na rezervnoj listi</w:t>
            </w:r>
          </w:p>
        </w:tc>
      </w:tr>
    </w:tbl>
    <w:p w:rsidR="00525175" w:rsidRDefault="00525175">
      <w:pPr>
        <w:rPr>
          <w:sz w:val="24"/>
          <w:szCs w:val="24"/>
        </w:rPr>
      </w:pPr>
    </w:p>
    <w:p w:rsidR="00525175" w:rsidRDefault="00525175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5251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B3" w:rsidRDefault="006C13B3">
      <w:pPr>
        <w:spacing w:after="0" w:line="240" w:lineRule="auto"/>
      </w:pPr>
      <w:r>
        <w:separator/>
      </w:r>
    </w:p>
  </w:endnote>
  <w:endnote w:type="continuationSeparator" w:id="0">
    <w:p w:rsidR="006C13B3" w:rsidRDefault="006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75" w:rsidRDefault="006C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457200" cy="457200"/>
          <wp:effectExtent l="0" t="0" r="0" b="0"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B3" w:rsidRDefault="006C13B3">
      <w:pPr>
        <w:spacing w:after="0" w:line="240" w:lineRule="auto"/>
      </w:pPr>
      <w:r>
        <w:separator/>
      </w:r>
    </w:p>
  </w:footnote>
  <w:footnote w:type="continuationSeparator" w:id="0">
    <w:p w:rsidR="006C13B3" w:rsidRDefault="006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75" w:rsidRDefault="006C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2046770" cy="668333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5175" w:rsidRDefault="006C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color w:val="000000"/>
      </w:rPr>
    </w:pPr>
    <w:r>
      <w:rPr>
        <w:rFonts w:ascii="Libre Baskerville" w:eastAsia="Libre Baskerville" w:hAnsi="Libre Baskerville" w:cs="Libre Baskerville"/>
        <w:b/>
        <w:noProof/>
        <w:color w:val="000000"/>
      </w:rPr>
      <w:drawing>
        <wp:inline distT="0" distB="0" distL="0" distR="0">
          <wp:extent cx="779519" cy="220532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519" cy="220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B050"/>
      </w:rPr>
      <w:t xml:space="preserve">               Compass for Progress and Excellence  </w:t>
    </w:r>
    <w:r>
      <w:rPr>
        <w:b/>
        <w:color w:val="00B050"/>
        <w:sz w:val="24"/>
        <w:szCs w:val="24"/>
      </w:rPr>
      <w:t>3</w:t>
    </w:r>
    <w:r>
      <w:rPr>
        <w:rFonts w:ascii="Libre Baskerville" w:eastAsia="Libre Baskerville" w:hAnsi="Libre Baskerville" w:cs="Libre Baskerville"/>
        <w:b/>
        <w:color w:val="00B050"/>
      </w:rPr>
      <w:t xml:space="preserve">                   </w:t>
    </w:r>
    <w:r>
      <w:rPr>
        <w:rFonts w:ascii="Libre Baskerville" w:eastAsia="Libre Baskerville" w:hAnsi="Libre Baskerville" w:cs="Libre Baskerville"/>
        <w:b/>
        <w:noProof/>
        <w:color w:val="000000"/>
      </w:rPr>
      <w:drawing>
        <wp:inline distT="0" distB="0" distL="0" distR="0">
          <wp:extent cx="874718" cy="275812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718" cy="27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5175" w:rsidRDefault="00525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577"/>
    <w:multiLevelType w:val="multilevel"/>
    <w:tmpl w:val="EC6C9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75"/>
    <w:rsid w:val="00525175"/>
    <w:rsid w:val="006C13B3"/>
    <w:rsid w:val="00D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B89"/>
  <w15:docId w15:val="{FECBB9B8-C802-40FE-BD1F-282C7A12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3WCuLxi5qOZ2+6NfP8VcjeuFzg==">AMUW2mWgOMH1Ajeyq54wB/+DYdVLLGJmRF9+WqQyonc5HYrn0wlPoK3LsLYI1y6FUYvuB40pcmeV8BTUrd7zTCic5i1/x8RuTH7m1F9EunldVK3c3VvCpssv7menZ433DX1PLzv+rkbT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2021-09-15T12:11:00Z</dcterms:created>
  <dcterms:modified xsi:type="dcterms:W3CDTF">2021-09-15T16:10:00Z</dcterms:modified>
</cp:coreProperties>
</file>