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69A84" w14:textId="77777777" w:rsidR="00BD2900" w:rsidRDefault="00BD2900" w:rsidP="00354D2E">
      <w:pPr>
        <w:rPr>
          <w:rFonts w:asciiTheme="majorHAnsi" w:hAnsiTheme="majorHAnsi" w:cstheme="majorHAnsi"/>
          <w:sz w:val="20"/>
          <w:szCs w:val="20"/>
        </w:rPr>
      </w:pPr>
    </w:p>
    <w:p w14:paraId="293281BC" w14:textId="32B7FA84" w:rsidR="00354D2E" w:rsidRPr="007073AF" w:rsidRDefault="00BD2900" w:rsidP="00354D2E">
      <w:pPr>
        <w:rPr>
          <w:rFonts w:asciiTheme="majorHAnsi" w:hAnsiTheme="majorHAnsi" w:cstheme="majorHAnsi"/>
          <w:b/>
          <w:bCs/>
          <w:sz w:val="20"/>
          <w:szCs w:val="20"/>
        </w:rPr>
      </w:pPr>
      <w:r w:rsidRPr="007073AF">
        <w:rPr>
          <w:rFonts w:asciiTheme="majorHAnsi" w:hAnsiTheme="majorHAnsi" w:cstheme="majorHAnsi"/>
          <w:b/>
          <w:bCs/>
          <w:sz w:val="20"/>
          <w:szCs w:val="20"/>
        </w:rPr>
        <w:t>PRILOG III. – Izjava o nekažnjavanju</w:t>
      </w:r>
      <w:r w:rsidR="00FA6957">
        <w:rPr>
          <w:rFonts w:asciiTheme="majorHAnsi" w:hAnsiTheme="majorHAnsi" w:cstheme="majorHAnsi"/>
          <w:b/>
          <w:bCs/>
          <w:sz w:val="20"/>
          <w:szCs w:val="20"/>
        </w:rPr>
        <w:t xml:space="preserve"> – 10/ESF/20</w:t>
      </w:r>
      <w:bookmarkStart w:id="0" w:name="_GoBack"/>
      <w:bookmarkEnd w:id="0"/>
    </w:p>
    <w:p w14:paraId="11A7E397" w14:textId="77777777" w:rsidR="00BD2900" w:rsidRDefault="00BD2900" w:rsidP="00354D2E">
      <w:pPr>
        <w:rPr>
          <w:rFonts w:asciiTheme="majorHAnsi" w:hAnsiTheme="majorHAnsi" w:cstheme="majorHAnsi"/>
          <w:sz w:val="20"/>
          <w:szCs w:val="20"/>
        </w:rPr>
      </w:pPr>
    </w:p>
    <w:p w14:paraId="70D2C69C"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Temeljem članka 251. stavka 1. točka 1. i točka 2. i članka 265. stavka 2. ZJN 2016, kao ovlaštena osoba za zastupanje gospodarskog subjekta dajem sljedeću: </w:t>
      </w:r>
    </w:p>
    <w:p w14:paraId="611A35B2"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 </w:t>
      </w:r>
    </w:p>
    <w:p w14:paraId="458AE493" w14:textId="77777777" w:rsidR="00354D2E" w:rsidRPr="007073AF" w:rsidRDefault="00354D2E" w:rsidP="007073AF">
      <w:pPr>
        <w:jc w:val="center"/>
        <w:rPr>
          <w:rFonts w:asciiTheme="majorHAnsi" w:hAnsiTheme="majorHAnsi" w:cstheme="majorHAnsi"/>
          <w:b/>
          <w:bCs/>
        </w:rPr>
      </w:pPr>
      <w:r w:rsidRPr="007073AF">
        <w:rPr>
          <w:rFonts w:asciiTheme="majorHAnsi" w:hAnsiTheme="majorHAnsi" w:cstheme="majorHAnsi"/>
          <w:b/>
          <w:bCs/>
        </w:rPr>
        <w:t>I Z J A V U   O   N E K A Ž N J A V A N J U</w:t>
      </w:r>
    </w:p>
    <w:p w14:paraId="7C6FBF5A"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 </w:t>
      </w:r>
    </w:p>
    <w:p w14:paraId="660CEBBC"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kojom ja _______________________________ iz _________________________________________ </w:t>
      </w:r>
    </w:p>
    <w:p w14:paraId="18BC77DF"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ab/>
        <w:t xml:space="preserve">(ime i prezime)   </w:t>
      </w:r>
      <w:r w:rsidRPr="00354D2E">
        <w:rPr>
          <w:rFonts w:asciiTheme="majorHAnsi" w:hAnsiTheme="majorHAnsi" w:cstheme="majorHAnsi"/>
          <w:sz w:val="20"/>
          <w:szCs w:val="20"/>
        </w:rPr>
        <w:tab/>
        <w:t xml:space="preserve"> </w:t>
      </w:r>
      <w:r w:rsidRPr="00354D2E">
        <w:rPr>
          <w:rFonts w:asciiTheme="majorHAnsi" w:hAnsiTheme="majorHAnsi" w:cstheme="majorHAnsi"/>
          <w:sz w:val="20"/>
          <w:szCs w:val="20"/>
        </w:rPr>
        <w:tab/>
        <w:t xml:space="preserve"> </w:t>
      </w:r>
      <w:r w:rsidRPr="00354D2E">
        <w:rPr>
          <w:rFonts w:asciiTheme="majorHAnsi" w:hAnsiTheme="majorHAnsi" w:cstheme="majorHAnsi"/>
          <w:sz w:val="20"/>
          <w:szCs w:val="20"/>
        </w:rPr>
        <w:tab/>
        <w:t xml:space="preserve"> </w:t>
      </w:r>
      <w:r w:rsidRPr="00354D2E">
        <w:rPr>
          <w:rFonts w:asciiTheme="majorHAnsi" w:hAnsiTheme="majorHAnsi" w:cstheme="majorHAnsi"/>
          <w:sz w:val="20"/>
          <w:szCs w:val="20"/>
        </w:rPr>
        <w:tab/>
        <w:t xml:space="preserve">(adresa stanovanja) </w:t>
      </w:r>
    </w:p>
    <w:p w14:paraId="114F610F"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broj identifikacijskog dokumenta __________________ izdanog od___________________________, kao osoba iz članka 251. stavka 1. točke 1. ZJN 2016 za sebe i za gospodarski subjekt: </w:t>
      </w:r>
    </w:p>
    <w:p w14:paraId="2D4B3506"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__________________________________________________________________________________ </w:t>
      </w:r>
    </w:p>
    <w:p w14:paraId="393DDFFA"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(naziv i sjedište gospodarskog subjekta, OIB) </w:t>
      </w:r>
    </w:p>
    <w:p w14:paraId="15C64786" w14:textId="77777777" w:rsidR="007073AF" w:rsidRPr="00354D2E" w:rsidRDefault="007073AF" w:rsidP="007073AF">
      <w:pPr>
        <w:rPr>
          <w:rFonts w:asciiTheme="majorHAnsi" w:hAnsiTheme="majorHAnsi" w:cstheme="majorHAnsi"/>
          <w:sz w:val="20"/>
          <w:szCs w:val="20"/>
        </w:rPr>
      </w:pPr>
      <w:r w:rsidRPr="00354D2E">
        <w:rPr>
          <w:rFonts w:asciiTheme="majorHAnsi" w:hAnsiTheme="majorHAnsi" w:cstheme="majorHAnsi"/>
          <w:sz w:val="20"/>
          <w:szCs w:val="20"/>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354D2E">
        <w:rPr>
          <w:rFonts w:asciiTheme="majorHAnsi" w:hAnsiTheme="majorHAnsi" w:cstheme="majorHAnsi"/>
          <w:sz w:val="20"/>
          <w:szCs w:val="20"/>
        </w:rPr>
        <w:t>nastana</w:t>
      </w:r>
      <w:proofErr w:type="spellEnd"/>
      <w:r w:rsidRPr="00354D2E">
        <w:rPr>
          <w:rFonts w:asciiTheme="majorHAnsi" w:hAnsiTheme="majorHAnsi" w:cstheme="majorHAnsi"/>
          <w:sz w:val="20"/>
          <w:szCs w:val="20"/>
        </w:rPr>
        <w:t xml:space="preserve"> gospodarskog subjekta odnosno, prema nacionalnim propisima države čiji su državljani  osobe koje su članovi upravnog, upravljačkog ili nadzornog tijela ili imaju ovlast zastupanja, donošenja odluka ili nadzora, koja obuhvaćaju razloge za isključenje iz članka 57. stavka 1. točaka a.) do F.) Direktive 2014/24/EU. </w:t>
      </w:r>
    </w:p>
    <w:p w14:paraId="72B2A104" w14:textId="77777777" w:rsidR="007073AF" w:rsidRPr="00354D2E" w:rsidRDefault="001E4850" w:rsidP="007073AF">
      <w:pPr>
        <w:rPr>
          <w:rFonts w:asciiTheme="majorHAnsi" w:hAnsiTheme="majorHAnsi" w:cstheme="majorHAnsi"/>
          <w:sz w:val="20"/>
          <w:szCs w:val="20"/>
        </w:rPr>
      </w:pPr>
      <w:r>
        <w:rPr>
          <w:rFonts w:asciiTheme="majorHAnsi" w:hAnsiTheme="majorHAnsi" w:cstheme="majorHAnsi"/>
          <w:sz w:val="20"/>
          <w:szCs w:val="20"/>
        </w:rPr>
        <w:t xml:space="preserve">1) </w:t>
      </w:r>
      <w:r w:rsidR="007073AF" w:rsidRPr="00354D2E">
        <w:rPr>
          <w:rFonts w:asciiTheme="majorHAnsi" w:hAnsiTheme="majorHAnsi" w:cstheme="majorHAnsi"/>
          <w:sz w:val="20"/>
          <w:szCs w:val="20"/>
        </w:rPr>
        <w:t xml:space="preserve">Kaznena djela za koja potvrđujemo da ne postoji pravomoćna presuda: </w:t>
      </w:r>
    </w:p>
    <w:p w14:paraId="49D7FF47"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a) sudjelovanje u zločinačkoj organizaciji, na temelju: </w:t>
      </w:r>
    </w:p>
    <w:p w14:paraId="7E692520"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328. (zločinačko udruženje) i članka 329. (počinjenje kaznenog djela u sastavu zločinačkog udruženja) Kaznenog zakona i </w:t>
      </w:r>
    </w:p>
    <w:p w14:paraId="22C230C4"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333. (udruživanje za počinjenje kaznenih djela), iz Kaznenog zakona (»Narodne novine«, br. 110/97., 27/98., 50/00., 129/00., 51/01., 111/03., 190/03., 105/04., 84/05., 71/06., 110/07., 152/08., 57/11., 77/11. i 143/12.); </w:t>
      </w:r>
    </w:p>
    <w:p w14:paraId="0ED597AA" w14:textId="77777777" w:rsidR="007073AF" w:rsidRDefault="007073AF" w:rsidP="007073AF">
      <w:pPr>
        <w:spacing w:before="120" w:after="120" w:line="240" w:lineRule="auto"/>
        <w:contextualSpacing/>
        <w:rPr>
          <w:rFonts w:asciiTheme="majorHAnsi" w:hAnsiTheme="majorHAnsi" w:cstheme="majorHAnsi"/>
          <w:sz w:val="20"/>
          <w:szCs w:val="20"/>
        </w:rPr>
      </w:pPr>
    </w:p>
    <w:p w14:paraId="3327FAAC" w14:textId="77777777" w:rsidR="007073AF"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b) korupciju, na temelju: </w:t>
      </w:r>
    </w:p>
    <w:p w14:paraId="1FC86EE1" w14:textId="77777777" w:rsidR="007073AF"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675271C5" w14:textId="77777777" w:rsidR="007073AF"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60E39012" w14:textId="77777777" w:rsidR="007073AF" w:rsidRDefault="007073AF" w:rsidP="007073AF">
      <w:pPr>
        <w:spacing w:before="120" w:after="120" w:line="240" w:lineRule="auto"/>
        <w:contextualSpacing/>
        <w:rPr>
          <w:rFonts w:asciiTheme="majorHAnsi" w:hAnsiTheme="majorHAnsi" w:cstheme="majorHAnsi"/>
          <w:sz w:val="20"/>
          <w:szCs w:val="20"/>
        </w:rPr>
      </w:pPr>
    </w:p>
    <w:p w14:paraId="151AE5E6"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c) prijevaru, na temelju: </w:t>
      </w:r>
    </w:p>
    <w:p w14:paraId="43F2567C" w14:textId="77777777" w:rsidR="007073AF"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lastRenderedPageBreak/>
        <w:t>-</w:t>
      </w:r>
      <w:r>
        <w:rPr>
          <w:rFonts w:asciiTheme="majorHAnsi" w:hAnsiTheme="majorHAnsi" w:cstheme="majorHAnsi"/>
          <w:sz w:val="20"/>
          <w:szCs w:val="20"/>
        </w:rPr>
        <w:t xml:space="preserve"> </w:t>
      </w:r>
      <w:r w:rsidRPr="00354D2E">
        <w:rPr>
          <w:rFonts w:asciiTheme="majorHAnsi" w:hAnsiTheme="majorHAnsi" w:cstheme="majorHAnsi"/>
          <w:sz w:val="20"/>
          <w:szCs w:val="20"/>
        </w:rPr>
        <w:t>članka 236. (prijevara), članka 247. (prijevara u gospodarskom poslovanju), članka 256. (utaja poreza ili carine) i članka 258. (subvencijska prijevara) Kaznenog zakona i</w:t>
      </w:r>
      <w:r>
        <w:rPr>
          <w:rFonts w:asciiTheme="majorHAnsi" w:hAnsiTheme="majorHAnsi" w:cstheme="majorHAnsi"/>
          <w:sz w:val="20"/>
          <w:szCs w:val="20"/>
        </w:rPr>
        <w:t xml:space="preserve"> </w:t>
      </w:r>
    </w:p>
    <w:p w14:paraId="42ECBA26"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224. (prijevara), članka 293. (prijevara u gospodarskom poslovanju) i članka 286. (utaja poreza i drugih davanja) iz Kaznenog zakona (»Narodne novine«, br. 110/97., 27/98., 50/00., 129/00., 51/01., </w:t>
      </w:r>
    </w:p>
    <w:p w14:paraId="0EAE1B40"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111/03., 190/03., 105/04., 84/05., 71/06., 110/07., 152/08., 57/11., 77/11. i 143/12.) </w:t>
      </w:r>
    </w:p>
    <w:p w14:paraId="485818C0" w14:textId="77777777" w:rsidR="007073AF" w:rsidRDefault="007073AF" w:rsidP="007073AF">
      <w:pPr>
        <w:spacing w:before="120" w:after="120" w:line="240" w:lineRule="auto"/>
        <w:contextualSpacing/>
        <w:rPr>
          <w:rFonts w:asciiTheme="majorHAnsi" w:hAnsiTheme="majorHAnsi" w:cstheme="majorHAnsi"/>
          <w:sz w:val="20"/>
          <w:szCs w:val="20"/>
        </w:rPr>
      </w:pPr>
    </w:p>
    <w:p w14:paraId="76BA67EC"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d)</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terorizam ili kaznena djela povezana s terorističkim aktivnostima, na temelju: </w:t>
      </w:r>
    </w:p>
    <w:p w14:paraId="6831B155"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97. (terorizam), članka 99. (javno poticanje na terorizam), članka 100. (novačenje za terorizam), članka 101. (obuka za terorizam) i članka 102. (terorističko udruženje) Kaznenog zakona </w:t>
      </w:r>
    </w:p>
    <w:p w14:paraId="556CF999"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169. (terorizam), članka 169.a (javno poticanje na terorizam) i članka 169.b (novačenje i obuka za terorizam) iz Kaznenog zakona (»Narodne novine«, br. 110/97., 27/98., 50/00., 129/00., 51/01., </w:t>
      </w:r>
    </w:p>
    <w:p w14:paraId="50B035C0"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111/03., 190/03., 105/04., 84/05., 71/06., 110/07., 152/08., 57/11., 77/11. i 143/12.) </w:t>
      </w:r>
    </w:p>
    <w:p w14:paraId="130AF86B" w14:textId="77777777" w:rsidR="007073AF" w:rsidRDefault="007073AF" w:rsidP="007073AF">
      <w:pPr>
        <w:spacing w:before="120" w:after="120" w:line="240" w:lineRule="auto"/>
        <w:contextualSpacing/>
        <w:rPr>
          <w:rFonts w:asciiTheme="majorHAnsi" w:hAnsiTheme="majorHAnsi" w:cstheme="majorHAnsi"/>
          <w:sz w:val="20"/>
          <w:szCs w:val="20"/>
        </w:rPr>
      </w:pPr>
    </w:p>
    <w:p w14:paraId="26E8E967"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e)</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pranje novca ili financiranje terorizma, na temelju: </w:t>
      </w:r>
    </w:p>
    <w:p w14:paraId="504EE7AA"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98. (financiranje terorizma) i članka 265. (pranje novca) Kaznenog zakona i </w:t>
      </w:r>
    </w:p>
    <w:p w14:paraId="7E1A3707"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279. (pranje novca) iz Kaznenog zakona (»Narodne novine«, br. 110/97., 27/98., 50/00., 129/00., 51/01., 111/03., 190/03., 105/04., 84/05., 71/06., 110/07., 152/08., 57/11., 77/11. i 143/12.) </w:t>
      </w:r>
    </w:p>
    <w:p w14:paraId="4EBDF251" w14:textId="77777777" w:rsidR="007073AF" w:rsidRDefault="007073AF" w:rsidP="007073AF">
      <w:pPr>
        <w:spacing w:before="120" w:after="120" w:line="240" w:lineRule="auto"/>
        <w:contextualSpacing/>
        <w:rPr>
          <w:rFonts w:asciiTheme="majorHAnsi" w:hAnsiTheme="majorHAnsi" w:cstheme="majorHAnsi"/>
          <w:sz w:val="20"/>
          <w:szCs w:val="20"/>
        </w:rPr>
      </w:pPr>
    </w:p>
    <w:p w14:paraId="6805E11E"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f)</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dječji rad ili druge oblike trgovanja ljudima, na temelju: </w:t>
      </w:r>
    </w:p>
    <w:p w14:paraId="449A37FB"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106. (trgovanje ljudima) Kaznenog zakona </w:t>
      </w:r>
    </w:p>
    <w:p w14:paraId="6B626A3A"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175. (trgovanje ljudima i ropstvo) iz Kaznenog zakona (»Narodne novine«, br. 110/97., 27/98., </w:t>
      </w:r>
    </w:p>
    <w:p w14:paraId="39922F4D" w14:textId="77777777" w:rsidR="007073AF"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50/00., 129/00., 51/01., 111/03., 190/03., 105/04., 84/05., 71/06., 110/07., 152/08., 57/11., 77/11. i 143/12.) </w:t>
      </w:r>
    </w:p>
    <w:p w14:paraId="382D7D1B" w14:textId="77777777" w:rsidR="001E4850" w:rsidRDefault="001E4850" w:rsidP="001E4850">
      <w:pPr>
        <w:spacing w:before="120" w:after="120" w:line="240" w:lineRule="auto"/>
        <w:contextualSpacing/>
        <w:rPr>
          <w:rFonts w:asciiTheme="majorHAnsi" w:hAnsiTheme="majorHAnsi" w:cstheme="majorHAnsi"/>
          <w:sz w:val="20"/>
          <w:szCs w:val="20"/>
        </w:rPr>
      </w:pPr>
    </w:p>
    <w:p w14:paraId="4425505F" w14:textId="77777777" w:rsidR="001E4850" w:rsidRDefault="001E4850" w:rsidP="001E4850">
      <w:pPr>
        <w:spacing w:before="120" w:after="120" w:line="240" w:lineRule="auto"/>
        <w:contextualSpacing/>
        <w:rPr>
          <w:rFonts w:asciiTheme="majorHAnsi" w:hAnsiTheme="majorHAnsi" w:cstheme="majorHAnsi"/>
          <w:sz w:val="20"/>
          <w:szCs w:val="20"/>
        </w:rPr>
      </w:pPr>
    </w:p>
    <w:p w14:paraId="1BAD6442" w14:textId="77777777" w:rsidR="00354D2E" w:rsidRPr="00354D2E" w:rsidRDefault="00354D2E" w:rsidP="00354D2E">
      <w:pPr>
        <w:rPr>
          <w:rFonts w:asciiTheme="majorHAnsi" w:hAnsiTheme="majorHAnsi" w:cstheme="majorHAnsi"/>
          <w:sz w:val="20"/>
          <w:szCs w:val="20"/>
        </w:rPr>
      </w:pPr>
    </w:p>
    <w:p w14:paraId="65EBF02C"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_____________________________________________ </w:t>
      </w:r>
    </w:p>
    <w:p w14:paraId="2769AAAB" w14:textId="2BB0D725" w:rsid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(ime, prezime osobe/a koja </w:t>
      </w:r>
      <w:r w:rsidR="00B34A00">
        <w:rPr>
          <w:rFonts w:asciiTheme="majorHAnsi" w:hAnsiTheme="majorHAnsi" w:cstheme="majorHAnsi"/>
          <w:sz w:val="20"/>
          <w:szCs w:val="20"/>
        </w:rPr>
        <w:t>ima ovlasti zastupanja po Zakonu)</w:t>
      </w:r>
    </w:p>
    <w:p w14:paraId="1BC51E11" w14:textId="77777777" w:rsidR="007073AF" w:rsidRPr="00354D2E" w:rsidRDefault="007073AF" w:rsidP="00354D2E">
      <w:pPr>
        <w:rPr>
          <w:rFonts w:asciiTheme="majorHAnsi" w:hAnsiTheme="majorHAnsi" w:cstheme="majorHAnsi"/>
          <w:sz w:val="20"/>
          <w:szCs w:val="20"/>
        </w:rPr>
      </w:pPr>
    </w:p>
    <w:p w14:paraId="741F31A3"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______________________________________________ </w:t>
      </w:r>
    </w:p>
    <w:p w14:paraId="47B096A7" w14:textId="4FE56787" w:rsidR="00354D2E" w:rsidRPr="00354D2E" w:rsidRDefault="00B34A00" w:rsidP="00354D2E">
      <w:pPr>
        <w:rPr>
          <w:rFonts w:asciiTheme="majorHAnsi" w:hAnsiTheme="majorHAnsi" w:cstheme="majorHAnsi"/>
          <w:sz w:val="20"/>
          <w:szCs w:val="20"/>
        </w:rPr>
      </w:pPr>
      <w:r w:rsidRPr="00B34A00">
        <w:rPr>
          <w:rFonts w:asciiTheme="majorHAnsi" w:hAnsiTheme="majorHAnsi" w:cstheme="majorHAnsi"/>
          <w:sz w:val="20"/>
          <w:szCs w:val="20"/>
        </w:rPr>
        <w:t>(</w:t>
      </w:r>
      <w:r w:rsidR="00963E3A">
        <w:rPr>
          <w:rFonts w:asciiTheme="majorHAnsi" w:hAnsiTheme="majorHAnsi" w:cstheme="majorHAnsi"/>
          <w:sz w:val="20"/>
          <w:szCs w:val="20"/>
        </w:rPr>
        <w:t>Potpis osobe</w:t>
      </w:r>
      <w:r w:rsidRPr="00B34A00">
        <w:rPr>
          <w:rFonts w:asciiTheme="majorHAnsi" w:hAnsiTheme="majorHAnsi" w:cstheme="majorHAnsi"/>
          <w:sz w:val="20"/>
          <w:szCs w:val="20"/>
        </w:rPr>
        <w:t xml:space="preserve"> koja ima ovlasti zastupanja po Zakonu)</w:t>
      </w:r>
      <w:r w:rsidR="00354D2E" w:rsidRPr="00354D2E">
        <w:rPr>
          <w:rFonts w:asciiTheme="majorHAnsi" w:hAnsiTheme="majorHAnsi" w:cstheme="majorHAnsi"/>
          <w:sz w:val="20"/>
          <w:szCs w:val="20"/>
        </w:rPr>
        <w:t xml:space="preserve"> </w:t>
      </w:r>
    </w:p>
    <w:p w14:paraId="5C90501F"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 </w:t>
      </w:r>
    </w:p>
    <w:p w14:paraId="275E8BBB" w14:textId="77777777" w:rsidR="00D47AAD" w:rsidRPr="00354D2E" w:rsidRDefault="00D47AAD" w:rsidP="00354D2E">
      <w:pPr>
        <w:rPr>
          <w:rFonts w:asciiTheme="majorHAnsi" w:hAnsiTheme="majorHAnsi" w:cstheme="majorHAnsi"/>
          <w:sz w:val="20"/>
          <w:szCs w:val="20"/>
        </w:rPr>
      </w:pPr>
    </w:p>
    <w:sectPr w:rsidR="00D47AAD" w:rsidRPr="00354D2E" w:rsidSect="00D47AAD">
      <w:headerReference w:type="default" r:id="rId8"/>
      <w:footerReference w:type="default" r:id="rId9"/>
      <w:pgSz w:w="11906" w:h="16838"/>
      <w:pgMar w:top="1417" w:right="1417" w:bottom="1417" w:left="1417" w:header="0"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CAE09" w14:textId="77777777" w:rsidR="00C835CD" w:rsidRDefault="00C835CD" w:rsidP="00B00900">
      <w:pPr>
        <w:spacing w:after="0" w:line="240" w:lineRule="auto"/>
      </w:pPr>
      <w:r>
        <w:separator/>
      </w:r>
    </w:p>
  </w:endnote>
  <w:endnote w:type="continuationSeparator" w:id="0">
    <w:p w14:paraId="38418D5F" w14:textId="77777777" w:rsidR="00C835CD" w:rsidRDefault="00C835CD" w:rsidP="00B0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2BB2A" w14:textId="77777777" w:rsidR="00C55DC9" w:rsidRPr="00D47AAD" w:rsidRDefault="003766FA" w:rsidP="003766FA">
    <w:pPr>
      <w:tabs>
        <w:tab w:val="center" w:pos="4536"/>
        <w:tab w:val="right" w:pos="9072"/>
      </w:tabs>
      <w:spacing w:after="0" w:line="240" w:lineRule="auto"/>
      <w:jc w:val="center"/>
      <w:rPr>
        <w:rFonts w:ascii="Verdana" w:hAnsi="Verdana"/>
        <w:color w:val="7F7F7F" w:themeColor="text1" w:themeTint="80"/>
        <w:sz w:val="16"/>
        <w:szCs w:val="16"/>
      </w:rPr>
    </w:pPr>
    <w:r>
      <w:rPr>
        <w:rFonts w:ascii="Verdana" w:hAnsi="Verdana"/>
        <w:noProof/>
        <w:color w:val="7F7F7F" w:themeColor="text1" w:themeTint="80"/>
        <w:sz w:val="16"/>
        <w:szCs w:val="16"/>
        <w:lang w:val="en-US"/>
      </w:rPr>
      <w:drawing>
        <wp:inline distT="0" distB="0" distL="0" distR="0" wp14:anchorId="4685B057" wp14:editId="11CAC416">
          <wp:extent cx="2551814" cy="690327"/>
          <wp:effectExtent l="0" t="0" r="127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628" cy="716517"/>
                  </a:xfrm>
                  <a:prstGeom prst="rect">
                    <a:avLst/>
                  </a:prstGeom>
                  <a:noFill/>
                </pic:spPr>
              </pic:pic>
            </a:graphicData>
          </a:graphic>
        </wp:inline>
      </w:drawing>
    </w:r>
  </w:p>
  <w:p w14:paraId="5482EFE8" w14:textId="77777777" w:rsidR="00B00900" w:rsidRPr="00D47AAD" w:rsidRDefault="00B00900" w:rsidP="00C55DC9">
    <w:pPr>
      <w:tabs>
        <w:tab w:val="center" w:pos="4536"/>
        <w:tab w:val="right" w:pos="9072"/>
      </w:tabs>
      <w:spacing w:after="0" w:line="240" w:lineRule="auto"/>
      <w:jc w:val="center"/>
      <w:rPr>
        <w:rFonts w:ascii="Verdana" w:hAnsi="Verdana"/>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26E3F" w14:textId="77777777" w:rsidR="00C835CD" w:rsidRDefault="00C835CD" w:rsidP="00B00900">
      <w:pPr>
        <w:spacing w:after="0" w:line="240" w:lineRule="auto"/>
      </w:pPr>
      <w:r>
        <w:separator/>
      </w:r>
    </w:p>
  </w:footnote>
  <w:footnote w:type="continuationSeparator" w:id="0">
    <w:p w14:paraId="495DC7CD" w14:textId="77777777" w:rsidR="00C835CD" w:rsidRDefault="00C835CD" w:rsidP="00B00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F5E2" w14:textId="77777777" w:rsidR="003766FA" w:rsidRDefault="003766FA" w:rsidP="003766FA">
    <w:pPr>
      <w:pStyle w:val="Zaglavlje"/>
      <w:jc w:val="center"/>
      <w:rPr>
        <w:noProof/>
        <w:lang w:val="en-US"/>
      </w:rPr>
    </w:pPr>
  </w:p>
  <w:p w14:paraId="68BFC560" w14:textId="77777777" w:rsidR="00C66390" w:rsidRDefault="00C66390" w:rsidP="003766FA">
    <w:pPr>
      <w:pStyle w:val="Zaglavlje"/>
      <w:jc w:val="center"/>
      <w:rPr>
        <w:noProof/>
        <w:lang w:val="en-US"/>
      </w:rPr>
    </w:pPr>
    <w:r w:rsidRPr="00B26186">
      <w:rPr>
        <w:rFonts w:ascii="Calibri Light" w:hAnsi="Calibri Light" w:cs="Calibri Light"/>
        <w:noProof/>
        <w:lang w:val="en-US"/>
      </w:rPr>
      <w:drawing>
        <wp:anchor distT="0" distB="0" distL="114300" distR="114300" simplePos="0" relativeHeight="251659264" behindDoc="0" locked="0" layoutInCell="1" allowOverlap="1" wp14:anchorId="680FD626" wp14:editId="42976EE2">
          <wp:simplePos x="0" y="0"/>
          <wp:positionH relativeFrom="margin">
            <wp:posOffset>-499745</wp:posOffset>
          </wp:positionH>
          <wp:positionV relativeFrom="paragraph">
            <wp:posOffset>257810</wp:posOffset>
          </wp:positionV>
          <wp:extent cx="770255" cy="72644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 cy="726440"/>
                  </a:xfrm>
                  <a:prstGeom prst="rect">
                    <a:avLst/>
                  </a:prstGeom>
                  <a:noFill/>
                </pic:spPr>
              </pic:pic>
            </a:graphicData>
          </a:graphic>
          <wp14:sizeRelH relativeFrom="margin">
            <wp14:pctWidth>0</wp14:pctWidth>
          </wp14:sizeRelH>
          <wp14:sizeRelV relativeFrom="margin">
            <wp14:pctHeight>0</wp14:pctHeight>
          </wp14:sizeRelV>
        </wp:anchor>
      </w:drawing>
    </w:r>
  </w:p>
  <w:p w14:paraId="2003F1C2" w14:textId="77777777" w:rsidR="00C66390" w:rsidRDefault="00C66390" w:rsidP="003766FA">
    <w:pPr>
      <w:pStyle w:val="Zaglavlje"/>
      <w:jc w:val="center"/>
      <w:rPr>
        <w:noProof/>
        <w:lang w:val="en-US"/>
      </w:rPr>
    </w:pPr>
  </w:p>
  <w:p w14:paraId="525E58F2" w14:textId="77777777" w:rsidR="00C66390" w:rsidRDefault="00C66390" w:rsidP="003766FA">
    <w:pPr>
      <w:pStyle w:val="Zaglavlje"/>
      <w:jc w:val="center"/>
      <w:rPr>
        <w:noProof/>
        <w:lang w:val="en-US"/>
      </w:rPr>
    </w:pPr>
  </w:p>
  <w:p w14:paraId="088721F8" w14:textId="77777777" w:rsidR="00C66390" w:rsidRDefault="00C66390" w:rsidP="003766FA">
    <w:pPr>
      <w:pStyle w:val="Zaglavlje"/>
      <w:jc w:val="center"/>
      <w:rPr>
        <w:noProof/>
        <w:lang w:val="en-US"/>
      </w:rPr>
    </w:pPr>
  </w:p>
  <w:p w14:paraId="432EE9B5" w14:textId="77777777" w:rsidR="00C66390" w:rsidRPr="00B26186" w:rsidRDefault="00C66390" w:rsidP="00C66390">
    <w:pPr>
      <w:pStyle w:val="Zaglavlje"/>
      <w:ind w:firstLine="450"/>
      <w:rPr>
        <w:rFonts w:ascii="Calibri Light" w:hAnsi="Calibri Light" w:cs="Calibri Light"/>
      </w:rPr>
    </w:pPr>
    <w:r w:rsidRPr="00B26186">
      <w:rPr>
        <w:rFonts w:ascii="Calibri Light" w:hAnsi="Calibri Light" w:cs="Calibri Light"/>
      </w:rPr>
      <w:t>Tehnička škola</w:t>
    </w:r>
  </w:p>
  <w:p w14:paraId="79C88A95" w14:textId="77777777" w:rsidR="00C66390" w:rsidRPr="00B26186" w:rsidRDefault="00C66390" w:rsidP="00C66390">
    <w:pPr>
      <w:pStyle w:val="Zaglavlje"/>
      <w:ind w:right="319" w:hanging="810"/>
      <w:rPr>
        <w:rFonts w:ascii="Calibri Light" w:hAnsi="Calibri Light" w:cs="Calibri Light"/>
      </w:rPr>
    </w:pPr>
    <w:r w:rsidRPr="00B26186">
      <w:rPr>
        <w:rFonts w:ascii="Calibri Light" w:hAnsi="Calibri Light" w:cs="Calibri Light"/>
      </w:rPr>
      <w:t xml:space="preserve">          E. Kumičića 55</w:t>
    </w:r>
  </w:p>
  <w:p w14:paraId="1D79816C" w14:textId="77777777" w:rsidR="00C66390" w:rsidRPr="00B26186" w:rsidRDefault="00C66390" w:rsidP="00C66390">
    <w:pPr>
      <w:pStyle w:val="Zaglavlje"/>
      <w:ind w:right="409" w:firstLine="450"/>
      <w:rPr>
        <w:rFonts w:ascii="Calibri Light" w:hAnsi="Calibri Light" w:cs="Calibri Light"/>
      </w:rPr>
    </w:pPr>
    <w:r w:rsidRPr="00B26186">
      <w:rPr>
        <w:rFonts w:ascii="Calibri Light" w:hAnsi="Calibri Light" w:cs="Calibri Light"/>
      </w:rPr>
      <w:t>35 000 Slavonski Brod</w:t>
    </w:r>
  </w:p>
  <w:p w14:paraId="5966D97C" w14:textId="77777777" w:rsidR="003766FA" w:rsidRPr="00716449" w:rsidRDefault="003766FA" w:rsidP="00C66390">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6AEB"/>
    <w:multiLevelType w:val="hybridMultilevel"/>
    <w:tmpl w:val="5EDECE08"/>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120E4B1F"/>
    <w:multiLevelType w:val="hybridMultilevel"/>
    <w:tmpl w:val="E4C26716"/>
    <w:lvl w:ilvl="0" w:tplc="04090017">
      <w:start w:val="1"/>
      <w:numFmt w:val="lowerLetter"/>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 w15:restartNumberingAfterBreak="0">
    <w:nsid w:val="1FA82BBA"/>
    <w:multiLevelType w:val="hybridMultilevel"/>
    <w:tmpl w:val="6E5A09DC"/>
    <w:lvl w:ilvl="0" w:tplc="04090017">
      <w:start w:val="1"/>
      <w:numFmt w:val="lowerLetter"/>
      <w:lvlText w:val="%1)"/>
      <w:lvlJc w:val="left"/>
      <w:pPr>
        <w:ind w:left="1776" w:hanging="360"/>
      </w:pPr>
      <w:rPr>
        <w:rFonts w:hint="default"/>
      </w:rPr>
    </w:lvl>
    <w:lvl w:ilvl="1" w:tplc="0409000D">
      <w:start w:val="1"/>
      <w:numFmt w:val="bullet"/>
      <w:lvlText w:val=""/>
      <w:lvlJc w:val="left"/>
      <w:pPr>
        <w:ind w:left="2496" w:hanging="360"/>
      </w:pPr>
      <w:rPr>
        <w:rFonts w:ascii="Wingdings" w:hAnsi="Wingdings" w:hint="default"/>
      </w:r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 w15:restartNumberingAfterBreak="0">
    <w:nsid w:val="2280323A"/>
    <w:multiLevelType w:val="hybridMultilevel"/>
    <w:tmpl w:val="2726240A"/>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601C3"/>
    <w:multiLevelType w:val="hybridMultilevel"/>
    <w:tmpl w:val="21CA9E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F261947"/>
    <w:multiLevelType w:val="hybridMultilevel"/>
    <w:tmpl w:val="D96E0ABA"/>
    <w:lvl w:ilvl="0" w:tplc="04090017">
      <w:start w:val="1"/>
      <w:numFmt w:val="lowerLetter"/>
      <w:lvlText w:val="%1)"/>
      <w:lvlJc w:val="left"/>
      <w:pPr>
        <w:ind w:left="1776" w:hanging="360"/>
      </w:pPr>
      <w:rPr>
        <w:rFonts w:hint="default"/>
      </w:rPr>
    </w:lvl>
    <w:lvl w:ilvl="1" w:tplc="0409000D">
      <w:start w:val="1"/>
      <w:numFmt w:val="bullet"/>
      <w:lvlText w:val=""/>
      <w:lvlJc w:val="left"/>
      <w:pPr>
        <w:ind w:left="2496" w:hanging="360"/>
      </w:pPr>
      <w:rPr>
        <w:rFonts w:ascii="Wingdings" w:hAnsi="Wingdings" w:hint="default"/>
      </w:r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6" w15:restartNumberingAfterBreak="0">
    <w:nsid w:val="507D1EF6"/>
    <w:multiLevelType w:val="hybridMultilevel"/>
    <w:tmpl w:val="0FE88FBC"/>
    <w:lvl w:ilvl="0" w:tplc="041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00"/>
    <w:rsid w:val="0007579F"/>
    <w:rsid w:val="00133EA3"/>
    <w:rsid w:val="001C08D3"/>
    <w:rsid w:val="001C6711"/>
    <w:rsid w:val="001E4850"/>
    <w:rsid w:val="002B6CCC"/>
    <w:rsid w:val="00351CE1"/>
    <w:rsid w:val="00354D2E"/>
    <w:rsid w:val="003766FA"/>
    <w:rsid w:val="003E4DFD"/>
    <w:rsid w:val="004331B6"/>
    <w:rsid w:val="00451344"/>
    <w:rsid w:val="004B49C1"/>
    <w:rsid w:val="007073AF"/>
    <w:rsid w:val="00716449"/>
    <w:rsid w:val="0072797E"/>
    <w:rsid w:val="007C2A40"/>
    <w:rsid w:val="007D4AC5"/>
    <w:rsid w:val="0081099C"/>
    <w:rsid w:val="008D3C84"/>
    <w:rsid w:val="00906A4A"/>
    <w:rsid w:val="00963E3A"/>
    <w:rsid w:val="009C7011"/>
    <w:rsid w:val="00A31423"/>
    <w:rsid w:val="00B00900"/>
    <w:rsid w:val="00B31C23"/>
    <w:rsid w:val="00B34A00"/>
    <w:rsid w:val="00B661CC"/>
    <w:rsid w:val="00B94DC3"/>
    <w:rsid w:val="00B96277"/>
    <w:rsid w:val="00BC0216"/>
    <w:rsid w:val="00BD2900"/>
    <w:rsid w:val="00C55DC9"/>
    <w:rsid w:val="00C66390"/>
    <w:rsid w:val="00C77725"/>
    <w:rsid w:val="00C835CD"/>
    <w:rsid w:val="00D47AAD"/>
    <w:rsid w:val="00D72AFB"/>
    <w:rsid w:val="00E3740C"/>
    <w:rsid w:val="00E40515"/>
    <w:rsid w:val="00F859DD"/>
    <w:rsid w:val="00FA69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AEFCC"/>
  <w15:docId w15:val="{44202BA4-F762-4642-A6BD-8CD898C8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25"/>
  </w:style>
  <w:style w:type="paragraph" w:styleId="Naslov1">
    <w:name w:val="heading 1"/>
    <w:basedOn w:val="Normal"/>
    <w:next w:val="Normal"/>
    <w:link w:val="Naslov1Char"/>
    <w:uiPriority w:val="9"/>
    <w:qFormat/>
    <w:rsid w:val="00C77725"/>
    <w:pPr>
      <w:keepNext/>
      <w:spacing w:before="120"/>
      <w:jc w:val="center"/>
      <w:outlineLvl w:val="0"/>
    </w:pPr>
    <w:rPr>
      <w:rFonts w:asciiTheme="majorHAnsi" w:eastAsiaTheme="majorEastAsia" w:hAnsiTheme="majorHAnsi" w:cstheme="majorHAnsi"/>
      <w:b/>
      <w:color w:val="262626" w:themeColor="text1" w:themeTint="D9"/>
      <w:spacing w:val="-10"/>
      <w:kern w:val="24"/>
      <w:sz w:val="32"/>
      <w:szCs w:val="32"/>
      <w:lang w:val="en-US"/>
    </w:rPr>
  </w:style>
  <w:style w:type="paragraph" w:styleId="Naslov2">
    <w:name w:val="heading 2"/>
    <w:basedOn w:val="Normal"/>
    <w:next w:val="Normal"/>
    <w:link w:val="Naslov2Char"/>
    <w:uiPriority w:val="9"/>
    <w:unhideWhenUsed/>
    <w:qFormat/>
    <w:rsid w:val="003766FA"/>
    <w:pPr>
      <w:keepNext/>
      <w:widowControl w:val="0"/>
      <w:autoSpaceDE w:val="0"/>
      <w:autoSpaceDN w:val="0"/>
      <w:spacing w:after="0" w:line="240" w:lineRule="auto"/>
      <w:jc w:val="center"/>
      <w:outlineLvl w:val="1"/>
    </w:pPr>
    <w:rPr>
      <w:rFonts w:asciiTheme="majorHAnsi" w:eastAsia="Tahoma" w:hAnsiTheme="majorHAnsi" w:cstheme="majorHAnsi"/>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0090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00900"/>
  </w:style>
  <w:style w:type="paragraph" w:styleId="Podnoje">
    <w:name w:val="footer"/>
    <w:basedOn w:val="Normal"/>
    <w:link w:val="PodnojeChar"/>
    <w:uiPriority w:val="99"/>
    <w:unhideWhenUsed/>
    <w:rsid w:val="00B0090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00900"/>
  </w:style>
  <w:style w:type="paragraph" w:styleId="Tekstbalonia">
    <w:name w:val="Balloon Text"/>
    <w:basedOn w:val="Normal"/>
    <w:link w:val="TekstbaloniaChar"/>
    <w:uiPriority w:val="99"/>
    <w:semiHidden/>
    <w:unhideWhenUsed/>
    <w:rsid w:val="008109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1099C"/>
    <w:rPr>
      <w:rFonts w:ascii="Tahoma" w:hAnsi="Tahoma" w:cs="Tahoma"/>
      <w:sz w:val="16"/>
      <w:szCs w:val="16"/>
    </w:rPr>
  </w:style>
  <w:style w:type="character" w:styleId="Hiperveza">
    <w:name w:val="Hyperlink"/>
    <w:basedOn w:val="Zadanifontodlomka"/>
    <w:uiPriority w:val="99"/>
    <w:unhideWhenUsed/>
    <w:rsid w:val="00C55DC9"/>
    <w:rPr>
      <w:color w:val="0563C1" w:themeColor="hyperlink"/>
      <w:u w:val="single"/>
    </w:rPr>
  </w:style>
  <w:style w:type="paragraph" w:styleId="Odlomakpopisa">
    <w:name w:val="List Paragraph"/>
    <w:basedOn w:val="Normal"/>
    <w:uiPriority w:val="34"/>
    <w:qFormat/>
    <w:rsid w:val="00C77725"/>
    <w:pPr>
      <w:spacing w:after="0" w:line="240" w:lineRule="auto"/>
      <w:ind w:left="720"/>
      <w:contextualSpacing/>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C777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C77725"/>
    <w:rPr>
      <w:rFonts w:asciiTheme="majorHAnsi" w:eastAsiaTheme="majorEastAsia" w:hAnsiTheme="majorHAnsi" w:cstheme="majorHAnsi"/>
      <w:b/>
      <w:color w:val="262626" w:themeColor="text1" w:themeTint="D9"/>
      <w:spacing w:val="-10"/>
      <w:kern w:val="24"/>
      <w:sz w:val="32"/>
      <w:szCs w:val="32"/>
      <w:lang w:val="en-US"/>
    </w:rPr>
  </w:style>
  <w:style w:type="character" w:customStyle="1" w:styleId="Naslov2Char">
    <w:name w:val="Naslov 2 Char"/>
    <w:basedOn w:val="Zadanifontodlomka"/>
    <w:link w:val="Naslov2"/>
    <w:uiPriority w:val="9"/>
    <w:rsid w:val="003766FA"/>
    <w:rPr>
      <w:rFonts w:asciiTheme="majorHAnsi" w:eastAsia="Tahoma" w:hAnsiTheme="majorHAnsi" w:cstheme="maj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E551A-99C2-4BB0-9478-D45280BC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718</Words>
  <Characters>4098</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Kresimir i Katarina</cp:lastModifiedBy>
  <cp:revision>8</cp:revision>
  <cp:lastPrinted>2019-10-04T09:23:00Z</cp:lastPrinted>
  <dcterms:created xsi:type="dcterms:W3CDTF">2020-07-21T15:25:00Z</dcterms:created>
  <dcterms:modified xsi:type="dcterms:W3CDTF">2020-09-29T07:03:00Z</dcterms:modified>
</cp:coreProperties>
</file>