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C45911" w:themeColor="accent2" w:themeShade="BF"/>
          <w:sz w:val="24"/>
          <w:szCs w:val="24"/>
        </w:rPr>
        <w:t>N</w:t>
      </w:r>
      <w:r w:rsidRPr="00B04A49">
        <w:rPr>
          <w:rFonts w:cs="Calibri"/>
          <w:b/>
          <w:color w:val="ED7D31" w:themeColor="accent2"/>
          <w:sz w:val="24"/>
          <w:szCs w:val="24"/>
        </w:rPr>
        <w:t>aziv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Compass</w:t>
      </w:r>
      <w:proofErr w:type="spellEnd"/>
      <w:r w:rsidRPr="00B04A49">
        <w:rPr>
          <w:rFonts w:cs="Calibri"/>
          <w:sz w:val="24"/>
          <w:szCs w:val="24"/>
        </w:rPr>
        <w:t xml:space="preserve"> for Progress </w:t>
      </w:r>
      <w:proofErr w:type="spellStart"/>
      <w:r w:rsidRPr="00B04A49">
        <w:rPr>
          <w:rFonts w:cs="Calibri"/>
          <w:sz w:val="24"/>
          <w:szCs w:val="24"/>
        </w:rPr>
        <w:t>and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Excellence</w:t>
      </w:r>
      <w:proofErr w:type="spellEnd"/>
      <w:r w:rsidRPr="00B04A49">
        <w:rPr>
          <w:rFonts w:cs="Calibri"/>
          <w:sz w:val="24"/>
          <w:szCs w:val="24"/>
        </w:rPr>
        <w:t xml:space="preserve">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Akronim: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Kompas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Program: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Erasmus</w:t>
      </w:r>
      <w:proofErr w:type="spellEnd"/>
      <w:r w:rsidRPr="00B04A49">
        <w:rPr>
          <w:rFonts w:cs="Calibri"/>
          <w:sz w:val="24"/>
          <w:szCs w:val="24"/>
        </w:rPr>
        <w:t>+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Tip aktivnosti: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Ključna aktivnost 1 (KA 1) Mobilnost u svrhu učenja za pojedince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Trajanje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 </w:t>
      </w:r>
      <w:r w:rsidRPr="00B04A49">
        <w:rPr>
          <w:rFonts w:cs="Calibri"/>
          <w:sz w:val="24"/>
          <w:szCs w:val="24"/>
        </w:rPr>
        <w:t>20 mjeseci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Broj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r w:rsidR="008F59E9">
        <w:rPr>
          <w:rFonts w:cs="Calibri"/>
          <w:sz w:val="24"/>
          <w:szCs w:val="24"/>
          <w:shd w:val="clear" w:color="auto" w:fill="FFFFFF"/>
        </w:rPr>
        <w:t>2019</w:t>
      </w:r>
      <w:r w:rsidR="00804C45">
        <w:rPr>
          <w:rFonts w:cs="Calibri"/>
          <w:sz w:val="24"/>
          <w:szCs w:val="24"/>
          <w:shd w:val="clear" w:color="auto" w:fill="FFFFFF"/>
        </w:rPr>
        <w:t>-1-HR01-KA116-060608</w:t>
      </w:r>
    </w:p>
    <w:p w:rsidR="00B04A49" w:rsidRPr="00B04A49" w:rsidRDefault="00B04A49" w:rsidP="00B04A49">
      <w:pPr>
        <w:spacing w:line="252" w:lineRule="auto"/>
        <w:rPr>
          <w:rFonts w:cs="Calibri"/>
          <w:b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 xml:space="preserve">Vrijednost projekta: </w:t>
      </w:r>
      <w:r w:rsidRPr="00B04A49">
        <w:rPr>
          <w:rFonts w:cs="Calibri"/>
          <w:sz w:val="24"/>
          <w:szCs w:val="24"/>
        </w:rPr>
        <w:t>157.775,00 EUR</w:t>
      </w:r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B04A49">
        <w:rPr>
          <w:rFonts w:eastAsia="Times New Roman" w:cs="Calibri"/>
          <w:b/>
          <w:bCs/>
          <w:color w:val="ED7D31" w:themeColor="accent2"/>
          <w:sz w:val="24"/>
          <w:szCs w:val="24"/>
          <w:lang w:eastAsia="hr-HR"/>
        </w:rPr>
        <w:t xml:space="preserve">Nositelj: </w:t>
      </w:r>
      <w:hyperlink r:id="rId5" w:tgtFrame="_blank" w:history="1">
        <w:r w:rsidRPr="00B04A49">
          <w:rPr>
            <w:rFonts w:eastAsia="Times New Roman" w:cs="Calibri"/>
            <w:sz w:val="24"/>
            <w:szCs w:val="24"/>
            <w:lang w:eastAsia="hr-HR"/>
          </w:rPr>
          <w:t>Tehnička škola Slavonski Brod</w:t>
        </w:r>
      </w:hyperlink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color w:val="C45911" w:themeColor="accent2" w:themeShade="BF"/>
          <w:sz w:val="24"/>
          <w:szCs w:val="24"/>
          <w:lang w:eastAsia="hr-HR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Partneri u projektu: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EuroMind</w:t>
      </w:r>
      <w:proofErr w:type="spellEnd"/>
      <w:r w:rsidRPr="00B04A49">
        <w:rPr>
          <w:rFonts w:cs="Calibri"/>
          <w:sz w:val="24"/>
          <w:szCs w:val="24"/>
        </w:rPr>
        <w:t xml:space="preserve">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Sistema </w:t>
      </w:r>
      <w:proofErr w:type="spellStart"/>
      <w:r w:rsidRPr="00B04A49">
        <w:rPr>
          <w:rFonts w:cs="Calibri"/>
          <w:sz w:val="24"/>
          <w:szCs w:val="24"/>
        </w:rPr>
        <w:t>Practices</w:t>
      </w:r>
      <w:proofErr w:type="spellEnd"/>
      <w:r w:rsidRPr="00B04A49">
        <w:rPr>
          <w:rFonts w:cs="Calibri"/>
          <w:sz w:val="24"/>
          <w:szCs w:val="24"/>
        </w:rPr>
        <w:t xml:space="preserve"> s.l.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Mobilia</w:t>
      </w:r>
      <w:proofErr w:type="spellEnd"/>
      <w:r w:rsidRPr="00B04A49">
        <w:rPr>
          <w:rFonts w:cs="Calibri"/>
          <w:sz w:val="24"/>
          <w:szCs w:val="24"/>
        </w:rPr>
        <w:t xml:space="preserve"> plus d.o.o. – Slovenija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RAM </w:t>
      </w:r>
      <w:proofErr w:type="spellStart"/>
      <w:r w:rsidRPr="00B04A49">
        <w:rPr>
          <w:rFonts w:cs="Calibri"/>
          <w:sz w:val="24"/>
          <w:szCs w:val="24"/>
        </w:rPr>
        <w:t>Elektronik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G.m.b.H</w:t>
      </w:r>
      <w:proofErr w:type="spellEnd"/>
      <w:r w:rsidRPr="00B04A49">
        <w:rPr>
          <w:rFonts w:cs="Calibri"/>
          <w:sz w:val="24"/>
          <w:szCs w:val="24"/>
        </w:rPr>
        <w:t>. – Austrija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Martello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Traing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Ltd</w:t>
      </w:r>
      <w:proofErr w:type="spellEnd"/>
      <w:r w:rsidRPr="00B04A49">
        <w:rPr>
          <w:rFonts w:cs="Calibri"/>
          <w:sz w:val="24"/>
          <w:szCs w:val="24"/>
        </w:rPr>
        <w:t xml:space="preserve"> – Irska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Istituto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per</w:t>
      </w:r>
      <w:proofErr w:type="spellEnd"/>
      <w:r w:rsidRPr="00B04A49">
        <w:rPr>
          <w:rFonts w:cs="Calibri"/>
          <w:sz w:val="24"/>
          <w:szCs w:val="24"/>
        </w:rPr>
        <w:t xml:space="preserve"> la </w:t>
      </w:r>
      <w:proofErr w:type="spellStart"/>
      <w:r w:rsidRPr="00B04A49">
        <w:rPr>
          <w:rFonts w:cs="Calibri"/>
          <w:sz w:val="24"/>
          <w:szCs w:val="24"/>
        </w:rPr>
        <w:t>Formazione</w:t>
      </w:r>
      <w:proofErr w:type="spellEnd"/>
      <w:r w:rsidRPr="00B04A49">
        <w:rPr>
          <w:rFonts w:cs="Calibri"/>
          <w:sz w:val="24"/>
          <w:szCs w:val="24"/>
        </w:rPr>
        <w:t xml:space="preserve">, </w:t>
      </w:r>
      <w:proofErr w:type="spellStart"/>
      <w:r w:rsidRPr="00B04A49">
        <w:rPr>
          <w:rFonts w:cs="Calibri"/>
          <w:sz w:val="24"/>
          <w:szCs w:val="24"/>
        </w:rPr>
        <w:t>I'Ocucupazione</w:t>
      </w:r>
      <w:proofErr w:type="spellEnd"/>
      <w:r w:rsidRPr="00B04A49">
        <w:rPr>
          <w:rFonts w:cs="Calibri"/>
          <w:sz w:val="24"/>
          <w:szCs w:val="24"/>
        </w:rPr>
        <w:t xml:space="preserve"> e la </w:t>
      </w:r>
      <w:proofErr w:type="spellStart"/>
      <w:r w:rsidRPr="00B04A49">
        <w:rPr>
          <w:rFonts w:cs="Calibri"/>
          <w:sz w:val="24"/>
          <w:szCs w:val="24"/>
        </w:rPr>
        <w:t>Mobilita</w:t>
      </w:r>
      <w:proofErr w:type="spellEnd"/>
      <w:r w:rsidRPr="00B04A49">
        <w:rPr>
          <w:rFonts w:cs="Calibri"/>
          <w:sz w:val="24"/>
          <w:szCs w:val="24"/>
        </w:rPr>
        <w:t xml:space="preserve"> – Italija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APLICAPROPOSTA LDA – Portugal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Stichting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Regionaal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Opleidingencentrum</w:t>
      </w:r>
      <w:proofErr w:type="spellEnd"/>
      <w:r w:rsidRPr="00B04A49">
        <w:rPr>
          <w:rFonts w:cs="Calibri"/>
          <w:sz w:val="24"/>
          <w:szCs w:val="24"/>
        </w:rPr>
        <w:t xml:space="preserve"> van </w:t>
      </w:r>
      <w:proofErr w:type="spellStart"/>
      <w:r w:rsidRPr="00B04A49">
        <w:rPr>
          <w:rFonts w:cs="Calibri"/>
          <w:sz w:val="24"/>
          <w:szCs w:val="24"/>
        </w:rPr>
        <w:t>Flevoland</w:t>
      </w:r>
      <w:proofErr w:type="spellEnd"/>
      <w:r w:rsidRPr="00B04A49">
        <w:rPr>
          <w:rFonts w:cs="Calibri"/>
          <w:sz w:val="24"/>
          <w:szCs w:val="24"/>
        </w:rPr>
        <w:t xml:space="preserve"> – Nizozemska </w:t>
      </w:r>
    </w:p>
    <w:p w:rsidR="00531EEA" w:rsidRPr="00C3201C" w:rsidRDefault="003D7968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</w:pPr>
      <w:r w:rsidRPr="00C3201C"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  <w:t>Ciljevi projekta Kompas 2:</w:t>
      </w:r>
    </w:p>
    <w:p w:rsidR="00C4625A" w:rsidRDefault="00C4625A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2E74B5" w:themeColor="accent1" w:themeShade="BF"/>
          <w:sz w:val="24"/>
          <w:szCs w:val="24"/>
          <w:lang w:eastAsia="hr-HR"/>
        </w:rPr>
      </w:pPr>
    </w:p>
    <w:p w:rsidR="00531EEA" w:rsidRPr="00C4625A" w:rsidRDefault="00C3201C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Prilagoditi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postojeće str</w:t>
      </w:r>
      <w:r w:rsidR="00C4625A">
        <w:rPr>
          <w:rFonts w:eastAsia="Times New Roman" w:cs="Calibri"/>
          <w:sz w:val="24"/>
          <w:szCs w:val="24"/>
          <w:lang w:eastAsia="hr-HR"/>
        </w:rPr>
        <w:t>ukovne kurikulum</w:t>
      </w:r>
      <w:r>
        <w:rPr>
          <w:rFonts w:eastAsia="Times New Roman" w:cs="Calibri"/>
          <w:sz w:val="24"/>
          <w:szCs w:val="24"/>
          <w:lang w:eastAsia="hr-HR"/>
        </w:rPr>
        <w:t>e</w:t>
      </w:r>
      <w:r w:rsidR="00C4625A">
        <w:rPr>
          <w:rFonts w:eastAsia="Times New Roman" w:cs="Calibri"/>
          <w:sz w:val="24"/>
          <w:szCs w:val="24"/>
          <w:lang w:eastAsia="hr-HR"/>
        </w:rPr>
        <w:t xml:space="preserve"> kao i stvoriti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nov</w:t>
      </w:r>
      <w:r w:rsidR="00C4625A">
        <w:rPr>
          <w:rFonts w:eastAsia="Times New Roman" w:cs="Calibri"/>
          <w:sz w:val="24"/>
          <w:szCs w:val="24"/>
          <w:lang w:eastAsia="hr-HR"/>
        </w:rPr>
        <w:t>e kurikulume</w:t>
      </w:r>
      <w:r>
        <w:rPr>
          <w:rFonts w:eastAsia="Times New Roman" w:cs="Calibri"/>
          <w:sz w:val="24"/>
          <w:szCs w:val="24"/>
          <w:lang w:eastAsia="hr-HR"/>
        </w:rPr>
        <w:t xml:space="preserve"> u svim sektorima u skladu s novim tehnologijama.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Razviti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kompeten</w:t>
      </w:r>
      <w:r>
        <w:rPr>
          <w:rFonts w:eastAsia="Times New Roman" w:cs="Calibri"/>
          <w:sz w:val="24"/>
          <w:szCs w:val="24"/>
          <w:lang w:eastAsia="hr-HR"/>
        </w:rPr>
        <w:t xml:space="preserve">cije, vještine i znanja potrebne za što kvalitetniju pripremu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za tržište rada. 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Povećati jezične kompetencije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kroz komunikaciju na engleskom jeziku s mentorima/vršnjacima/k</w:t>
      </w:r>
      <w:r>
        <w:rPr>
          <w:rFonts w:eastAsia="Times New Roman" w:cs="Calibri"/>
          <w:sz w:val="24"/>
          <w:szCs w:val="24"/>
          <w:lang w:eastAsia="hr-HR"/>
        </w:rPr>
        <w:t>olegama u školama i poduzećima i tako pridonijeti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većoj sigurnosti i samopouzdanju u budućem profesionalnom i osobnom razvoju.</w:t>
      </w:r>
    </w:p>
    <w:p w:rsidR="00531EEA" w:rsidRPr="00C4625A" w:rsidRDefault="00531EE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Pridonijeti uklanjanju kulturoloških barijera i jačanju osjećaja pripadnosti EU upoznavanjem s običajima i tradicijom u partnerskih zemalja što doprinosi razvoju </w:t>
      </w:r>
      <w:proofErr w:type="spellStart"/>
      <w:r w:rsidRPr="00C4625A">
        <w:rPr>
          <w:rFonts w:eastAsia="Times New Roman" w:cs="Calibri"/>
          <w:sz w:val="24"/>
          <w:szCs w:val="24"/>
          <w:lang w:eastAsia="hr-HR"/>
        </w:rPr>
        <w:t>interkul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turalnosti</w:t>
      </w:r>
      <w:proofErr w:type="spellEnd"/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i internacionalnosti.</w:t>
      </w:r>
    </w:p>
    <w:p w:rsidR="00531EEA" w:rsidRPr="00C4625A" w:rsidRDefault="00C4625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Razviti partnerstva s privrednim sektorom u inozemstvu radi unaprjeđenja kvalitete strukovnih kompetencija učenika, posebno stručne prakse učenika i njihovog lakšeg uključivanja na tržište rada. </w:t>
      </w:r>
    </w:p>
    <w:p w:rsidR="00531EEA" w:rsidRPr="00C3201C" w:rsidRDefault="00531EEA" w:rsidP="00531EEA">
      <w:pPr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lastRenderedPageBreak/>
        <w:t>Ključne aktivnosti:</w:t>
      </w:r>
    </w:p>
    <w:p w:rsidR="00531EEA" w:rsidRPr="00C4625A" w:rsidRDefault="00531EEA" w:rsidP="00531EEA">
      <w:pPr>
        <w:rPr>
          <w:rFonts w:cs="Calibri"/>
          <w:sz w:val="24"/>
          <w:szCs w:val="24"/>
        </w:rPr>
      </w:pPr>
      <w:r w:rsidRPr="00C4625A">
        <w:rPr>
          <w:rFonts w:cs="Calibri"/>
          <w:sz w:val="24"/>
          <w:szCs w:val="24"/>
        </w:rPr>
        <w:t>U projektu Kompas</w:t>
      </w:r>
      <w:r w:rsidR="00C4625A">
        <w:rPr>
          <w:rFonts w:cs="Calibri"/>
          <w:sz w:val="24"/>
          <w:szCs w:val="24"/>
        </w:rPr>
        <w:t xml:space="preserve"> 2</w:t>
      </w:r>
      <w:r w:rsidRPr="00C4625A">
        <w:rPr>
          <w:rFonts w:cs="Calibri"/>
          <w:sz w:val="24"/>
          <w:szCs w:val="24"/>
        </w:rPr>
        <w:t xml:space="preserve"> sudjeluje </w:t>
      </w:r>
      <w:r w:rsidR="009F7AA9">
        <w:rPr>
          <w:rFonts w:cs="Calibri"/>
          <w:sz w:val="24"/>
          <w:szCs w:val="24"/>
        </w:rPr>
        <w:t>55</w:t>
      </w:r>
      <w:r w:rsidR="00C4625A" w:rsidRPr="00C4625A">
        <w:rPr>
          <w:rFonts w:cs="Calibri"/>
          <w:sz w:val="24"/>
          <w:szCs w:val="24"/>
        </w:rPr>
        <w:t xml:space="preserve"> učenika, 11 osoba u pratnji učenika, 4 </w:t>
      </w:r>
      <w:r w:rsidRPr="00C4625A">
        <w:rPr>
          <w:rFonts w:cs="Calibri"/>
          <w:sz w:val="24"/>
          <w:szCs w:val="24"/>
        </w:rPr>
        <w:t>sudionika nast</w:t>
      </w:r>
      <w:r w:rsidR="00C4625A" w:rsidRPr="00C4625A">
        <w:rPr>
          <w:rFonts w:cs="Calibri"/>
          <w:sz w:val="24"/>
          <w:szCs w:val="24"/>
        </w:rPr>
        <w:t>avnog i nenastavnog osoblja te 1 nastavnik</w:t>
      </w:r>
      <w:r w:rsidRPr="00C4625A">
        <w:rPr>
          <w:rFonts w:cs="Calibri"/>
          <w:sz w:val="24"/>
          <w:szCs w:val="24"/>
        </w:rPr>
        <w:t xml:space="preserve"> u aktivnosti poučavanja i to u sljedećim programima mobilnosti:</w:t>
      </w: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bookmarkStart w:id="0" w:name="_GoBack"/>
      <w:r w:rsidRPr="00B04A49">
        <w:rPr>
          <w:rFonts w:cs="Calibri"/>
          <w:b/>
          <w:color w:val="ED7D31" w:themeColor="accent2"/>
          <w:sz w:val="24"/>
          <w:szCs w:val="24"/>
        </w:rPr>
        <w:t>Planirane  mobilnosti učenika osoblja u školskoj godini 2019./2020.: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1 - </w:t>
      </w:r>
      <w:proofErr w:type="spellStart"/>
      <w:r w:rsidRPr="00B04A49">
        <w:rPr>
          <w:rFonts w:cs="Calibri"/>
          <w:sz w:val="24"/>
          <w:szCs w:val="24"/>
        </w:rPr>
        <w:t>Bologna</w:t>
      </w:r>
      <w:proofErr w:type="spellEnd"/>
      <w:r w:rsidRPr="00B04A49">
        <w:rPr>
          <w:rFonts w:cs="Calibri"/>
          <w:sz w:val="24"/>
          <w:szCs w:val="24"/>
        </w:rPr>
        <w:t>, Italija  - 5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2 - </w:t>
      </w:r>
      <w:proofErr w:type="spellStart"/>
      <w:r w:rsidRPr="00B04A49">
        <w:rPr>
          <w:rFonts w:cs="Calibri"/>
          <w:sz w:val="24"/>
          <w:szCs w:val="24"/>
        </w:rPr>
        <w:t>Škofja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Loka</w:t>
      </w:r>
      <w:proofErr w:type="spellEnd"/>
      <w:r w:rsidRPr="00B04A49">
        <w:rPr>
          <w:rFonts w:cs="Calibri"/>
          <w:sz w:val="24"/>
          <w:szCs w:val="24"/>
        </w:rPr>
        <w:t>, Slovenija – 10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3 - </w:t>
      </w:r>
      <w:proofErr w:type="spellStart"/>
      <w:r w:rsidRPr="00B04A49">
        <w:rPr>
          <w:rFonts w:cs="Calibri"/>
          <w:sz w:val="24"/>
          <w:szCs w:val="24"/>
        </w:rPr>
        <w:t>Braga</w:t>
      </w:r>
      <w:proofErr w:type="spellEnd"/>
      <w:r w:rsidRPr="00B04A49">
        <w:rPr>
          <w:rFonts w:cs="Calibri"/>
          <w:sz w:val="24"/>
          <w:szCs w:val="24"/>
        </w:rPr>
        <w:t>, Portugal – 6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4 –Sevilla, Španjolska – 5 učenika 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5  - Sevilla, Španjolska –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6  - Malaga, Španjolska 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7 - Valencia, Španjolska – 6 učenika</w:t>
      </w:r>
    </w:p>
    <w:p w:rsidR="009F7AA9" w:rsidRPr="00B04A49" w:rsidRDefault="00B04A49" w:rsidP="009F7AA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8 - </w:t>
      </w:r>
      <w:r w:rsidR="009F7AA9">
        <w:rPr>
          <w:rFonts w:cs="Calibri"/>
          <w:sz w:val="24"/>
          <w:szCs w:val="24"/>
        </w:rPr>
        <w:t xml:space="preserve">Malaga, </w:t>
      </w:r>
      <w:r w:rsidR="009F7AA9" w:rsidRPr="00B04A49">
        <w:rPr>
          <w:rFonts w:cs="Calibri"/>
          <w:sz w:val="24"/>
          <w:szCs w:val="24"/>
        </w:rPr>
        <w:t>Španjolska – 5 učenika</w:t>
      </w:r>
    </w:p>
    <w:p w:rsidR="00B04A49" w:rsidRPr="00B04A49" w:rsidRDefault="009F7AA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Tijek 9 - </w:t>
      </w:r>
      <w:proofErr w:type="spellStart"/>
      <w:r w:rsidRPr="00B04A49">
        <w:rPr>
          <w:rFonts w:cs="Calibri"/>
          <w:sz w:val="24"/>
          <w:szCs w:val="24"/>
        </w:rPr>
        <w:t>Villach</w:t>
      </w:r>
      <w:proofErr w:type="spellEnd"/>
      <w:r w:rsidRPr="00B04A49">
        <w:rPr>
          <w:rFonts w:cs="Calibri"/>
          <w:sz w:val="24"/>
          <w:szCs w:val="24"/>
        </w:rPr>
        <w:t>, Austrija – 6 učenika</w:t>
      </w:r>
    </w:p>
    <w:p w:rsidR="00B04A49" w:rsidRPr="009F7AA9" w:rsidRDefault="00B04A49" w:rsidP="00BF4E94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9F7AA9">
        <w:rPr>
          <w:rFonts w:cs="Calibri"/>
          <w:sz w:val="24"/>
          <w:szCs w:val="24"/>
        </w:rPr>
        <w:t>Tijek 10 -Ljubljana, Slovenija – 2 učenika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C45911" w:themeColor="accent2" w:themeShade="BF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Planirane mobilnosti nastavnog i nenastavnog osoblja: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– Irska , 2 nastavnika</w:t>
      </w:r>
    </w:p>
    <w:p w:rsid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-  Nizozemska, 2 nastavnika</w:t>
      </w:r>
    </w:p>
    <w:p w:rsidR="00E92043" w:rsidRPr="00B04A49" w:rsidRDefault="00B04A49" w:rsidP="00E92043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TAA – Slovenija, 1 nastavnik</w:t>
      </w:r>
    </w:p>
    <w:bookmarkEnd w:id="0"/>
    <w:p w:rsidR="00531EEA" w:rsidRPr="003D7968" w:rsidRDefault="00531EEA" w:rsidP="00531EEA">
      <w:pPr>
        <w:rPr>
          <w:rFonts w:cs="Calibri"/>
          <w:color w:val="FF0000"/>
          <w:sz w:val="24"/>
          <w:szCs w:val="24"/>
        </w:rPr>
      </w:pPr>
    </w:p>
    <w:p w:rsidR="00531EEA" w:rsidRPr="00C3201C" w:rsidRDefault="00531EEA" w:rsidP="00531EEA">
      <w:pPr>
        <w:spacing w:after="0"/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t>Ishodi projekta: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, u okviru osposobljavanja nastavnog i nenastavnog osoblja želimo potaknuti promjene i osmisliti nove inovativne kurikulume koje odgovaraju potrebama tržišta rada. Nastavno i nenastavno osoblje su pokretači i </w:t>
      </w:r>
      <w:proofErr w:type="spellStart"/>
      <w:r w:rsidRPr="00E92043">
        <w:rPr>
          <w:rFonts w:cs="Calibri"/>
          <w:sz w:val="24"/>
          <w:szCs w:val="24"/>
        </w:rPr>
        <w:t>motivatori</w:t>
      </w:r>
      <w:proofErr w:type="spellEnd"/>
      <w:r w:rsidRPr="00E92043">
        <w:rPr>
          <w:rFonts w:cs="Calibri"/>
          <w:sz w:val="24"/>
          <w:szCs w:val="24"/>
        </w:rPr>
        <w:t xml:space="preserve"> promjena koji poboljšanjem svojih kompetencija i poticanjem cjeloživotnog učenja mogu stvoriti podlogu za nužne promjene.  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u okviru mobilnosti osoblja omogućavamo nastavnicima</w:t>
      </w:r>
      <w:r w:rsidR="00E92043" w:rsidRPr="00E92043">
        <w:rPr>
          <w:rFonts w:cs="Calibri"/>
          <w:sz w:val="24"/>
          <w:szCs w:val="24"/>
        </w:rPr>
        <w:t xml:space="preserve"> </w:t>
      </w:r>
      <w:r w:rsidRPr="00E92043">
        <w:rPr>
          <w:rFonts w:cs="Calibri"/>
          <w:sz w:val="24"/>
          <w:szCs w:val="24"/>
        </w:rPr>
        <w:t xml:space="preserve"> poučavanje kod partnerskog pružatelja strukovnog obrazovanja i osposobljavanja u inozemstvu iz područja </w:t>
      </w:r>
      <w:proofErr w:type="spellStart"/>
      <w:r w:rsidRPr="00E92043">
        <w:rPr>
          <w:rFonts w:cs="Calibri"/>
          <w:sz w:val="24"/>
          <w:szCs w:val="24"/>
        </w:rPr>
        <w:t>elektropneumatike</w:t>
      </w:r>
      <w:proofErr w:type="spellEnd"/>
      <w:r w:rsidRPr="00E92043">
        <w:rPr>
          <w:rFonts w:cs="Calibri"/>
          <w:sz w:val="24"/>
          <w:szCs w:val="24"/>
        </w:rPr>
        <w:t xml:space="preserve"> i robotike čime se odgovara na njihove izražene potrebe.</w:t>
      </w:r>
    </w:p>
    <w:p w:rsidR="00B04A49" w:rsidRPr="00B04A49" w:rsidRDefault="00531EEA" w:rsidP="00B04A49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želimo unaprijediti ključne kompetencije i vještine naših učenika u odnosu na njihovu važnost za tržište rada u smislu obavljanja stručne prakse u struko</w:t>
      </w:r>
      <w:r w:rsidR="00C3201C">
        <w:rPr>
          <w:rFonts w:cs="Calibri"/>
          <w:sz w:val="24"/>
          <w:szCs w:val="24"/>
        </w:rPr>
        <w:t xml:space="preserve">vnim školama i tvrtkama u EU iz sva četiri sektora: strojarstvo, promet, elektrotehnika i graditeljstvo. </w:t>
      </w:r>
    </w:p>
    <w:sectPr w:rsidR="00B04A49" w:rsidRPr="00B0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multilevel"/>
    <w:tmpl w:val="22D0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A"/>
    <w:rsid w:val="00026AB6"/>
    <w:rsid w:val="001C20AE"/>
    <w:rsid w:val="00235B19"/>
    <w:rsid w:val="003D7968"/>
    <w:rsid w:val="005138DD"/>
    <w:rsid w:val="00531EEA"/>
    <w:rsid w:val="00781006"/>
    <w:rsid w:val="00804C45"/>
    <w:rsid w:val="008F59E9"/>
    <w:rsid w:val="009F7AA9"/>
    <w:rsid w:val="00A66E03"/>
    <w:rsid w:val="00B04A49"/>
    <w:rsid w:val="00C3201C"/>
    <w:rsid w:val="00C4625A"/>
    <w:rsid w:val="00E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94E3-24EA-491B-AE90-2E3F4188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E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E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sb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cp:lastPrinted>2019-09-10T13:23:00Z</cp:lastPrinted>
  <dcterms:created xsi:type="dcterms:W3CDTF">2019-09-10T13:23:00Z</dcterms:created>
  <dcterms:modified xsi:type="dcterms:W3CDTF">2019-10-19T06:37:00Z</dcterms:modified>
</cp:coreProperties>
</file>